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BB70D" w14:textId="77777777" w:rsidR="0068188E" w:rsidRDefault="0068188E" w:rsidP="006E7C35">
      <w:pPr>
        <w:spacing w:after="0" w:line="240" w:lineRule="auto"/>
        <w:rPr>
          <w:rFonts w:ascii="Arial" w:hAnsi="Arial" w:cs="Arial"/>
          <w:b/>
          <w:bCs/>
        </w:rPr>
      </w:pPr>
    </w:p>
    <w:p w14:paraId="31840846" w14:textId="3A20AF8E" w:rsidR="00655C3E" w:rsidRDefault="00655C3E" w:rsidP="006E7C35">
      <w:pPr>
        <w:spacing w:after="0" w:line="240" w:lineRule="auto"/>
        <w:rPr>
          <w:b/>
        </w:rPr>
      </w:pPr>
      <w:r>
        <w:rPr>
          <w:rFonts w:ascii="Arial" w:hAnsi="Arial" w:cs="Arial"/>
          <w:b/>
          <w:bCs/>
        </w:rPr>
        <w:t>FOR IMMEDIATE RELEASE</w:t>
      </w:r>
    </w:p>
    <w:p w14:paraId="2BE2F808" w14:textId="77777777" w:rsidR="0068188E" w:rsidRDefault="0068188E" w:rsidP="006E7C35">
      <w:pPr>
        <w:spacing w:after="0" w:line="240" w:lineRule="auto"/>
        <w:rPr>
          <w:rFonts w:ascii="Arial" w:hAnsi="Arial" w:cs="Arial"/>
          <w:b/>
          <w:bCs/>
        </w:rPr>
      </w:pPr>
    </w:p>
    <w:p w14:paraId="3D521D67" w14:textId="77777777" w:rsidR="0068188E" w:rsidRDefault="0068188E" w:rsidP="006E7C35">
      <w:pPr>
        <w:spacing w:after="0" w:line="240" w:lineRule="auto"/>
      </w:pPr>
      <w:r w:rsidRPr="00243240">
        <w:rPr>
          <w:rFonts w:ascii="Arial" w:hAnsi="Arial" w:cs="Arial"/>
          <w:b/>
          <w:bCs/>
          <w:highlight w:val="yellow"/>
        </w:rPr>
        <w:t>Month XX, 20XX</w:t>
      </w:r>
    </w:p>
    <w:p w14:paraId="72F153F2" w14:textId="77777777" w:rsidR="00655C3E" w:rsidRPr="00B469D6" w:rsidRDefault="00655C3E" w:rsidP="006E7C35">
      <w:pPr>
        <w:spacing w:after="0" w:line="240" w:lineRule="auto"/>
      </w:pPr>
    </w:p>
    <w:p w14:paraId="2F2E547D" w14:textId="77777777" w:rsidR="00655C3E" w:rsidRDefault="00655C3E" w:rsidP="006E7C35">
      <w:pPr>
        <w:spacing w:after="0" w:line="240" w:lineRule="auto"/>
      </w:pPr>
      <w:r>
        <w:rPr>
          <w:rFonts w:ascii="Arial" w:hAnsi="Arial" w:cs="Arial"/>
          <w:b/>
          <w:bCs/>
          <w:sz w:val="20"/>
          <w:szCs w:val="20"/>
        </w:rPr>
        <w:t xml:space="preserve">Contacts: </w:t>
      </w:r>
    </w:p>
    <w:p w14:paraId="16EB85CD" w14:textId="77777777" w:rsidR="0068188E" w:rsidRDefault="0068188E" w:rsidP="006E7C35">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6478D4EC" w14:textId="77777777" w:rsidR="0068188E" w:rsidRDefault="0068188E" w:rsidP="006E7C35">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1F6C16B4" w14:textId="7ED6F114" w:rsidR="00655C3E" w:rsidRPr="00865D69" w:rsidRDefault="00655C3E" w:rsidP="006E7C35">
      <w:pPr>
        <w:pStyle w:val="NoSpacing"/>
      </w:pPr>
    </w:p>
    <w:p w14:paraId="10AFC252" w14:textId="77777777" w:rsidR="00655C3E" w:rsidRDefault="00655C3E" w:rsidP="006E7C35">
      <w:pPr>
        <w:pStyle w:val="NoSpacing"/>
        <w:jc w:val="center"/>
        <w:rPr>
          <w:rFonts w:ascii="Arial" w:hAnsi="Arial" w:cs="Arial"/>
          <w:b/>
          <w:bCs/>
          <w:sz w:val="24"/>
          <w:szCs w:val="24"/>
        </w:rPr>
      </w:pPr>
    </w:p>
    <w:p w14:paraId="5E606887" w14:textId="27DDF4F0" w:rsidR="00F56B5D" w:rsidRDefault="00F56B5D" w:rsidP="006E7C35">
      <w:pPr>
        <w:pStyle w:val="NoSpacing"/>
        <w:jc w:val="center"/>
        <w:rPr>
          <w:rFonts w:ascii="Arial" w:hAnsi="Arial" w:cs="Arial"/>
          <w:b/>
          <w:bCs/>
          <w:sz w:val="24"/>
          <w:szCs w:val="24"/>
        </w:rPr>
      </w:pPr>
      <w:r>
        <w:rPr>
          <w:rFonts w:ascii="Arial" w:hAnsi="Arial" w:cs="Arial"/>
          <w:b/>
          <w:bCs/>
          <w:sz w:val="24"/>
          <w:szCs w:val="24"/>
          <w:highlight w:val="yellow"/>
        </w:rPr>
        <w:t>F</w:t>
      </w:r>
      <w:r w:rsidRPr="002E361D">
        <w:rPr>
          <w:rFonts w:ascii="Arial" w:hAnsi="Arial" w:cs="Arial"/>
          <w:b/>
          <w:bCs/>
          <w:sz w:val="24"/>
          <w:szCs w:val="24"/>
          <w:highlight w:val="yellow"/>
        </w:rPr>
        <w:t>ACILITY</w:t>
      </w:r>
      <w:r>
        <w:rPr>
          <w:rFonts w:ascii="Arial" w:hAnsi="Arial" w:cs="Arial"/>
          <w:b/>
          <w:bCs/>
          <w:sz w:val="24"/>
          <w:szCs w:val="24"/>
        </w:rPr>
        <w:t xml:space="preserve"> Recognized for Excellence with ACC Transcatheter Valve Certification</w:t>
      </w:r>
    </w:p>
    <w:p w14:paraId="41BE8FD7" w14:textId="2496C23C" w:rsidR="00655C3E" w:rsidRDefault="001B4C78" w:rsidP="006E7C35">
      <w:pPr>
        <w:spacing w:after="0" w:line="240" w:lineRule="auto"/>
        <w:jc w:val="center"/>
        <w:rPr>
          <w:rFonts w:asciiTheme="minorHAnsi" w:hAnsiTheme="minorHAnsi" w:cstheme="minorHAnsi"/>
          <w:i/>
          <w:sz w:val="24"/>
          <w:szCs w:val="24"/>
          <w:shd w:val="clear" w:color="auto" w:fill="FFFFFF"/>
        </w:rPr>
      </w:pPr>
      <w:r w:rsidRPr="001B4C78">
        <w:rPr>
          <w:rStyle w:val="gi"/>
          <w:rFonts w:asciiTheme="minorHAnsi" w:hAnsiTheme="minorHAnsi" w:cstheme="minorHAnsi"/>
          <w:i/>
          <w:sz w:val="24"/>
          <w:szCs w:val="24"/>
          <w:highlight w:val="yellow"/>
        </w:rPr>
        <w:t>FACILITY</w:t>
      </w:r>
      <w:r w:rsidRPr="001B4C78">
        <w:rPr>
          <w:rStyle w:val="gi"/>
          <w:rFonts w:asciiTheme="minorHAnsi" w:hAnsiTheme="minorHAnsi" w:cstheme="minorHAnsi"/>
          <w:i/>
          <w:sz w:val="24"/>
          <w:szCs w:val="24"/>
        </w:rPr>
        <w:t xml:space="preserve"> </w:t>
      </w:r>
      <w:r w:rsidR="003914CE">
        <w:rPr>
          <w:rFonts w:asciiTheme="minorHAnsi" w:hAnsiTheme="minorHAnsi" w:cstheme="minorHAnsi"/>
          <w:i/>
          <w:sz w:val="24"/>
          <w:szCs w:val="24"/>
          <w:shd w:val="clear" w:color="auto" w:fill="FFFFFF"/>
        </w:rPr>
        <w:t xml:space="preserve">developed processes to standardize </w:t>
      </w:r>
      <w:r w:rsidR="00DE0271">
        <w:rPr>
          <w:rFonts w:asciiTheme="minorHAnsi" w:hAnsiTheme="minorHAnsi" w:cstheme="minorHAnsi"/>
          <w:i/>
          <w:sz w:val="24"/>
          <w:szCs w:val="24"/>
          <w:shd w:val="clear" w:color="auto" w:fill="FFFFFF"/>
        </w:rPr>
        <w:t>patient care</w:t>
      </w:r>
      <w:r w:rsidR="003914CE">
        <w:rPr>
          <w:rFonts w:asciiTheme="minorHAnsi" w:hAnsiTheme="minorHAnsi" w:cstheme="minorHAnsi"/>
          <w:i/>
          <w:sz w:val="24"/>
          <w:szCs w:val="24"/>
          <w:shd w:val="clear" w:color="auto" w:fill="FFFFFF"/>
        </w:rPr>
        <w:t>, increase quality measurement</w:t>
      </w:r>
    </w:p>
    <w:p w14:paraId="6D0B67D7" w14:textId="77777777" w:rsidR="006E7C35" w:rsidRPr="001B4C78" w:rsidRDefault="006E7C35" w:rsidP="006E7C35">
      <w:pPr>
        <w:spacing w:after="0" w:line="240" w:lineRule="auto"/>
        <w:jc w:val="center"/>
        <w:rPr>
          <w:rStyle w:val="gi"/>
          <w:rFonts w:asciiTheme="minorHAnsi" w:hAnsiTheme="minorHAnsi" w:cstheme="minorHAnsi"/>
          <w:b/>
          <w:bCs/>
          <w:i/>
          <w:sz w:val="24"/>
          <w:szCs w:val="24"/>
        </w:rPr>
      </w:pPr>
    </w:p>
    <w:p w14:paraId="46A112F5" w14:textId="321E8C6B" w:rsidR="00655C3E" w:rsidRDefault="001B4C78" w:rsidP="006E7C35">
      <w:pPr>
        <w:spacing w:after="0" w:line="240" w:lineRule="auto"/>
      </w:pPr>
      <w:r w:rsidRPr="001B4C78">
        <w:rPr>
          <w:rFonts w:asciiTheme="minorHAnsi" w:hAnsiTheme="minorHAnsi" w:cstheme="minorHAnsi"/>
          <w:b/>
          <w:bCs/>
          <w:sz w:val="24"/>
          <w:szCs w:val="24"/>
          <w:highlight w:val="yellow"/>
        </w:rPr>
        <w:t>DATELINE</w:t>
      </w:r>
      <w:r w:rsidR="00655C3E" w:rsidRPr="001B4C78">
        <w:rPr>
          <w:rFonts w:asciiTheme="minorHAnsi" w:hAnsiTheme="minorHAnsi" w:cstheme="minorHAnsi"/>
          <w:b/>
          <w:bCs/>
          <w:sz w:val="24"/>
          <w:szCs w:val="24"/>
          <w:highlight w:val="yellow"/>
        </w:rPr>
        <w:t xml:space="preserve"> (Month xx, 20</w:t>
      </w:r>
      <w:r w:rsidRPr="001B4C78">
        <w:rPr>
          <w:rFonts w:asciiTheme="minorHAnsi" w:hAnsiTheme="minorHAnsi" w:cstheme="minorHAnsi"/>
          <w:b/>
          <w:bCs/>
          <w:sz w:val="24"/>
          <w:szCs w:val="24"/>
          <w:highlight w:val="yellow"/>
        </w:rPr>
        <w:t>xx</w:t>
      </w:r>
      <w:r w:rsidR="00655C3E" w:rsidRPr="001B4C78">
        <w:rPr>
          <w:rFonts w:asciiTheme="minorHAnsi" w:hAnsiTheme="minorHAnsi" w:cstheme="minorHAnsi"/>
          <w:b/>
          <w:bCs/>
          <w:sz w:val="24"/>
          <w:szCs w:val="24"/>
          <w:highlight w:val="yellow"/>
        </w:rPr>
        <w:t>)</w:t>
      </w:r>
      <w:r w:rsidR="00655C3E">
        <w:rPr>
          <w:rFonts w:asciiTheme="minorHAnsi" w:hAnsiTheme="minorHAnsi" w:cstheme="minorHAnsi"/>
          <w:b/>
          <w:bCs/>
          <w:sz w:val="24"/>
          <w:szCs w:val="24"/>
        </w:rPr>
        <w:t xml:space="preserve"> —</w:t>
      </w:r>
      <w:r w:rsidR="00655C3E">
        <w:t xml:space="preserve"> </w:t>
      </w:r>
      <w:r w:rsidR="00FF09B7" w:rsidRPr="00626115">
        <w:rPr>
          <w:rFonts w:asciiTheme="minorHAnsi" w:hAnsiTheme="minorHAnsi" w:cstheme="minorHAnsi"/>
          <w:bCs/>
        </w:rPr>
        <w:t xml:space="preserve">The American College of Cardiology has recognized </w:t>
      </w:r>
      <w:r w:rsidR="00FF09B7" w:rsidRPr="00626115">
        <w:rPr>
          <w:rFonts w:asciiTheme="minorHAnsi" w:hAnsiTheme="minorHAnsi"/>
          <w:b/>
          <w:highlight w:val="yellow"/>
        </w:rPr>
        <w:t>FACILITY NAME</w:t>
      </w:r>
      <w:r w:rsidR="00FF09B7" w:rsidRPr="00626115">
        <w:rPr>
          <w:rFonts w:asciiTheme="minorHAnsi" w:hAnsiTheme="minorHAnsi"/>
        </w:rPr>
        <w:t xml:space="preserve"> for its demonstrated expertise and commitment in treating patients </w:t>
      </w:r>
      <w:r w:rsidR="00FF09B7">
        <w:rPr>
          <w:rFonts w:asciiTheme="minorHAnsi" w:hAnsiTheme="minorHAnsi"/>
        </w:rPr>
        <w:t>receiving transcatheter valve repair and replacement procedures</w:t>
      </w:r>
      <w:r w:rsidR="00FF09B7" w:rsidRPr="00626115">
        <w:rPr>
          <w:rFonts w:asciiTheme="minorHAnsi" w:hAnsiTheme="minorHAnsi"/>
        </w:rPr>
        <w:t xml:space="preserve">. </w:t>
      </w:r>
      <w:r w:rsidR="00FF09B7" w:rsidRPr="00626115">
        <w:rPr>
          <w:rFonts w:asciiTheme="minorHAnsi" w:hAnsiTheme="minorHAnsi"/>
          <w:b/>
          <w:highlight w:val="yellow"/>
        </w:rPr>
        <w:t>FACILITY NAME</w:t>
      </w:r>
      <w:r w:rsidR="00FF09B7" w:rsidRPr="00626115">
        <w:rPr>
          <w:rFonts w:asciiTheme="minorHAnsi" w:hAnsiTheme="minorHAnsi"/>
          <w:b/>
        </w:rPr>
        <w:t xml:space="preserve"> </w:t>
      </w:r>
      <w:r w:rsidR="00FF09B7" w:rsidRPr="00626115">
        <w:rPr>
          <w:rFonts w:asciiTheme="minorHAnsi" w:hAnsiTheme="minorHAnsi"/>
        </w:rPr>
        <w:t xml:space="preserve">was awarded </w:t>
      </w:r>
      <w:r w:rsidR="00FF09B7">
        <w:rPr>
          <w:rFonts w:asciiTheme="minorHAnsi" w:hAnsiTheme="minorHAnsi"/>
        </w:rPr>
        <w:t>Transcatheter Valve Certification</w:t>
      </w:r>
      <w:r w:rsidR="00FF09B7" w:rsidRPr="00626115">
        <w:rPr>
          <w:rFonts w:asciiTheme="minorHAnsi" w:hAnsiTheme="minorHAnsi"/>
        </w:rPr>
        <w:t xml:space="preserve"> in </w:t>
      </w:r>
      <w:r w:rsidR="00FF09B7" w:rsidRPr="00626115">
        <w:rPr>
          <w:rFonts w:asciiTheme="minorHAnsi" w:hAnsiTheme="minorHAnsi"/>
          <w:b/>
          <w:highlight w:val="yellow"/>
        </w:rPr>
        <w:t>MONTH</w:t>
      </w:r>
      <w:r w:rsidR="00FF09B7" w:rsidRPr="00626115">
        <w:rPr>
          <w:rFonts w:asciiTheme="minorHAnsi" w:hAnsiTheme="minorHAnsi"/>
        </w:rPr>
        <w:t xml:space="preserve"> based on</w:t>
      </w:r>
      <w:r w:rsidR="00FF09B7" w:rsidRPr="00626115">
        <w:rPr>
          <w:rFonts w:asciiTheme="minorHAnsi" w:hAnsiTheme="minorHAnsi" w:cs="Arial"/>
        </w:rPr>
        <w:t xml:space="preserve"> evaluation of the staff’s ability to </w:t>
      </w:r>
      <w:r w:rsidR="00FF09B7">
        <w:t>meet standards for multidisciplinary teams, formalized training, shared decision-making and registry performance.</w:t>
      </w:r>
    </w:p>
    <w:p w14:paraId="11D7EAD4" w14:textId="77777777" w:rsidR="006E7C35" w:rsidRDefault="006E7C35" w:rsidP="006E7C35">
      <w:pPr>
        <w:spacing w:after="0" w:line="240" w:lineRule="auto"/>
      </w:pPr>
    </w:p>
    <w:p w14:paraId="76DA65CF" w14:textId="1791D34E" w:rsidR="00FF09B7" w:rsidRDefault="00FF09B7" w:rsidP="006E7C35">
      <w:pPr>
        <w:spacing w:after="0" w:line="240" w:lineRule="auto"/>
      </w:pPr>
      <w:r w:rsidRPr="00FF09B7">
        <w:t xml:space="preserve">The ACC’s Transcatheter Valve Certification is an external review and certification process that </w:t>
      </w:r>
      <w:r w:rsidRPr="00FF09B7">
        <w:rPr>
          <w:rStyle w:val="gi"/>
        </w:rPr>
        <w:t>pairs with established national clinical databases to monitor patient safety</w:t>
      </w:r>
      <w:r w:rsidR="00BD4996">
        <w:rPr>
          <w:rStyle w:val="gi"/>
        </w:rPr>
        <w:t xml:space="preserve"> and</w:t>
      </w:r>
      <w:r w:rsidRPr="00FF09B7">
        <w:rPr>
          <w:rStyle w:val="gi"/>
        </w:rPr>
        <w:t xml:space="preserve"> real-world outcomes related to transcatheter valve </w:t>
      </w:r>
      <w:r>
        <w:rPr>
          <w:rStyle w:val="gi"/>
        </w:rPr>
        <w:t xml:space="preserve">therapies. </w:t>
      </w:r>
      <w:r w:rsidR="001C776C">
        <w:t>Participation in established national clinical databases such as the STS/ACC TVT Registry is required for hospitals interested in achieving Transcatheter Valve Certification.</w:t>
      </w:r>
    </w:p>
    <w:p w14:paraId="17F4FC31" w14:textId="77777777" w:rsidR="006E7C35" w:rsidRDefault="006E7C35" w:rsidP="006E7C35">
      <w:pPr>
        <w:spacing w:after="0" w:line="240" w:lineRule="auto"/>
      </w:pPr>
    </w:p>
    <w:p w14:paraId="0D5CD299" w14:textId="72C30042" w:rsidR="001C776C" w:rsidRDefault="001C776C" w:rsidP="006E7C35">
      <w:pPr>
        <w:autoSpaceDE w:val="0"/>
        <w:autoSpaceDN w:val="0"/>
        <w:spacing w:after="0" w:line="240" w:lineRule="auto"/>
        <w:rPr>
          <w:rFonts w:cs="Times New Roman"/>
        </w:rPr>
      </w:pPr>
      <w:r>
        <w:t>“</w:t>
      </w:r>
      <w:r>
        <w:rPr>
          <w:b/>
          <w:bCs/>
          <w:highlight w:val="yellow"/>
        </w:rPr>
        <w:t>FACILITY NAME</w:t>
      </w:r>
      <w:r>
        <w:t xml:space="preserve"> has demonstrated its commitment to providing </w:t>
      </w:r>
      <w:r>
        <w:rPr>
          <w:b/>
          <w:bCs/>
          <w:highlight w:val="yellow"/>
        </w:rPr>
        <w:t>COMMUNITY NAME</w:t>
      </w:r>
      <w:r>
        <w:t xml:space="preserve"> with excellent heart care,” said </w:t>
      </w:r>
      <w:r w:rsidR="00FF364E">
        <w:t>Deepak L. Bhatt</w:t>
      </w:r>
      <w:r>
        <w:t>, MD,</w:t>
      </w:r>
      <w:r w:rsidR="00FF364E">
        <w:t xml:space="preserve"> MPH,</w:t>
      </w:r>
      <w:r>
        <w:t xml:space="preserve"> FACC, chair of the ACC Accreditation Management Board. “ACC Accreditation Services is proud to award </w:t>
      </w:r>
      <w:r>
        <w:rPr>
          <w:b/>
          <w:bCs/>
          <w:highlight w:val="yellow"/>
        </w:rPr>
        <w:t>FACILITY NAME</w:t>
      </w:r>
      <w:r>
        <w:rPr>
          <w:b/>
          <w:bCs/>
        </w:rPr>
        <w:t xml:space="preserve"> </w:t>
      </w:r>
      <w:r>
        <w:t>with Transcatheter Valve Certification.”</w:t>
      </w:r>
    </w:p>
    <w:p w14:paraId="7D0D34E5" w14:textId="0B8074D4" w:rsidR="006E7C35" w:rsidRPr="006E7C35" w:rsidRDefault="006E7C35" w:rsidP="006E7C35">
      <w:pPr>
        <w:spacing w:after="0" w:line="240" w:lineRule="auto"/>
      </w:pPr>
      <w:r>
        <w:br/>
      </w:r>
      <w:r w:rsidRPr="006E7C35">
        <w:t>The certification uses established national clinical measures</w:t>
      </w:r>
      <w:r w:rsidRPr="00DE0271">
        <w:t xml:space="preserve"> </w:t>
      </w:r>
      <w:r w:rsidRPr="006E7C35">
        <w:t>to support clinical decisions and links process improvement to patient outcomes. Hospitals that achieve Transcatheter Valve Certification learn best practices for implementing evidence-based medicine to support</w:t>
      </w:r>
      <w:r w:rsidR="00DE0271">
        <w:t xml:space="preserve"> patient-centered</w:t>
      </w:r>
      <w:r w:rsidRPr="006E7C35">
        <w:t xml:space="preserve"> decision-making and </w:t>
      </w:r>
      <w:r w:rsidR="001C4865">
        <w:t>can</w:t>
      </w:r>
      <w:r w:rsidRPr="006E7C35">
        <w:t xml:space="preserve"> track key performance metrics to better identify opportunities for improvement.</w:t>
      </w:r>
    </w:p>
    <w:p w14:paraId="074B42D0" w14:textId="77777777" w:rsidR="006E7C35" w:rsidRDefault="006E7C35" w:rsidP="006E7C35">
      <w:pPr>
        <w:autoSpaceDE w:val="0"/>
        <w:autoSpaceDN w:val="0"/>
        <w:adjustRightInd w:val="0"/>
        <w:spacing w:after="0" w:line="240" w:lineRule="auto"/>
        <w:rPr>
          <w:rFonts w:cs="Arial"/>
          <w:b/>
          <w:highlight w:val="yellow"/>
        </w:rPr>
      </w:pPr>
    </w:p>
    <w:p w14:paraId="1E7AD1FD" w14:textId="36056047" w:rsidR="006E7C35" w:rsidRPr="00626115" w:rsidRDefault="006E7C35" w:rsidP="006E7C35">
      <w:pPr>
        <w:autoSpaceDE w:val="0"/>
        <w:autoSpaceDN w:val="0"/>
        <w:adjustRightInd w:val="0"/>
        <w:spacing w:after="0" w:line="240" w:lineRule="auto"/>
        <w:rPr>
          <w:rFonts w:cs="Arial"/>
          <w:b/>
          <w:highlight w:val="yellow"/>
        </w:rPr>
      </w:pPr>
      <w:r w:rsidRPr="00626115">
        <w:rPr>
          <w:rFonts w:cs="Arial"/>
          <w:b/>
          <w:highlight w:val="yellow"/>
        </w:rPr>
        <w:t>[QUOTE from hospital]</w:t>
      </w:r>
    </w:p>
    <w:p w14:paraId="68D68B35" w14:textId="77777777" w:rsidR="006E7C35" w:rsidRPr="00626115" w:rsidRDefault="006E7C35" w:rsidP="006E7C35">
      <w:pPr>
        <w:autoSpaceDE w:val="0"/>
        <w:autoSpaceDN w:val="0"/>
        <w:adjustRightInd w:val="0"/>
        <w:spacing w:after="0" w:line="240" w:lineRule="auto"/>
        <w:rPr>
          <w:rFonts w:cs="Arial"/>
          <w:highlight w:val="yellow"/>
        </w:rPr>
      </w:pPr>
    </w:p>
    <w:p w14:paraId="09A76838" w14:textId="3FB465F9" w:rsidR="006E7C35" w:rsidRDefault="006E7C35" w:rsidP="006E7C35">
      <w:pPr>
        <w:autoSpaceDE w:val="0"/>
        <w:autoSpaceDN w:val="0"/>
        <w:adjustRightInd w:val="0"/>
        <w:spacing w:after="0" w:line="240" w:lineRule="auto"/>
        <w:rPr>
          <w:rFonts w:cs="Arial"/>
          <w:b/>
        </w:rPr>
      </w:pPr>
      <w:r w:rsidRPr="00626115">
        <w:rPr>
          <w:rFonts w:cs="Arial"/>
          <w:b/>
          <w:highlight w:val="yellow"/>
        </w:rPr>
        <w:t>[Additional info about hospital or facility]</w:t>
      </w:r>
    </w:p>
    <w:p w14:paraId="06B8DE99" w14:textId="77777777" w:rsidR="006E7C35" w:rsidRPr="00626115" w:rsidRDefault="006E7C35" w:rsidP="006E7C35">
      <w:pPr>
        <w:autoSpaceDE w:val="0"/>
        <w:autoSpaceDN w:val="0"/>
        <w:adjustRightInd w:val="0"/>
        <w:spacing w:after="0" w:line="240" w:lineRule="auto"/>
        <w:rPr>
          <w:rFonts w:cs="Arial"/>
          <w:b/>
        </w:rPr>
      </w:pPr>
    </w:p>
    <w:p w14:paraId="0DC50BD6" w14:textId="32FBB6C4" w:rsidR="006E7C35" w:rsidRPr="00626115" w:rsidRDefault="006E7C35" w:rsidP="006E7C35">
      <w:pPr>
        <w:autoSpaceDE w:val="0"/>
        <w:autoSpaceDN w:val="0"/>
        <w:adjustRightInd w:val="0"/>
        <w:spacing w:after="0" w:line="240" w:lineRule="auto"/>
        <w:rPr>
          <w:rFonts w:asciiTheme="minorHAnsi" w:hAnsiTheme="minorHAnsi" w:cs="Arial"/>
        </w:rPr>
      </w:pPr>
      <w:r w:rsidRPr="00626115">
        <w:rPr>
          <w:rFonts w:asciiTheme="minorHAnsi" w:hAnsiTheme="minorHAnsi" w:cs="Lucida Sans Unicode"/>
          <w:shd w:val="clear" w:color="auto" w:fill="FFFFFF"/>
        </w:rPr>
        <w:t>The ACC offer</w:t>
      </w:r>
      <w:r>
        <w:rPr>
          <w:rFonts w:asciiTheme="minorHAnsi" w:hAnsiTheme="minorHAnsi" w:cs="Lucida Sans Unicode"/>
          <w:shd w:val="clear" w:color="auto" w:fill="FFFFFF"/>
        </w:rPr>
        <w:t>s</w:t>
      </w:r>
      <w:r w:rsidRPr="00626115">
        <w:rPr>
          <w:rFonts w:asciiTheme="minorHAnsi" w:hAnsiTheme="minorHAnsi" w:cs="Lucida Sans Unicode"/>
          <w:shd w:val="clear" w:color="auto" w:fill="FFFFFF"/>
        </w:rPr>
        <w:t xml:space="preserve"> U.S. </w:t>
      </w:r>
      <w:r>
        <w:rPr>
          <w:rFonts w:asciiTheme="minorHAnsi" w:hAnsiTheme="minorHAnsi" w:cs="Lucida Sans Unicode"/>
          <w:shd w:val="clear" w:color="auto" w:fill="FFFFFF"/>
        </w:rPr>
        <w:t xml:space="preserve">and international </w:t>
      </w:r>
      <w:r w:rsidRPr="00626115">
        <w:rPr>
          <w:rFonts w:asciiTheme="minorHAnsi" w:hAnsiTheme="minorHAnsi" w:cs="Lucida Sans Unicode"/>
          <w:shd w:val="clear" w:color="auto" w:fill="FFFFFF"/>
        </w:rPr>
        <w:t xml:space="preserve">hospitals like </w:t>
      </w:r>
      <w:r w:rsidRPr="008D19E4">
        <w:rPr>
          <w:rFonts w:asciiTheme="minorHAnsi" w:hAnsiTheme="minorHAnsi" w:cs="Lucida Sans Unicode"/>
          <w:b/>
          <w:highlight w:val="yellow"/>
          <w:shd w:val="clear" w:color="auto" w:fill="FFFFFF"/>
        </w:rPr>
        <w:t>FACILITY NAME</w:t>
      </w:r>
      <w:r w:rsidRPr="00626115">
        <w:rPr>
          <w:rFonts w:asciiTheme="minorHAnsi" w:hAnsiTheme="minorHAnsi" w:cs="Lucida Sans Unicode"/>
          <w:shd w:val="clear" w:color="auto" w:fill="FFFFFF"/>
        </w:rPr>
        <w:t xml:space="preserve"> access to a comprehensive suite of cardiac accreditation services designed to optimize patient outcomes and improve hospital financial performance. These services are focused on all aspects of cardiac care, including </w:t>
      </w:r>
      <w:r>
        <w:rPr>
          <w:rFonts w:asciiTheme="minorHAnsi" w:hAnsiTheme="minorHAnsi" w:cs="Lucida Sans Unicode"/>
          <w:shd w:val="clear" w:color="auto" w:fill="FFFFFF"/>
        </w:rPr>
        <w:t>transcatheter valve therapies</w:t>
      </w:r>
      <w:r w:rsidRPr="00626115">
        <w:rPr>
          <w:rFonts w:asciiTheme="minorHAnsi" w:hAnsiTheme="minorHAnsi" w:cs="Lucida Sans Unicode"/>
          <w:shd w:val="clear" w:color="auto" w:fill="FFFFFF"/>
        </w:rPr>
        <w:t xml:space="preserve">. </w:t>
      </w:r>
    </w:p>
    <w:p w14:paraId="5B63BB3A" w14:textId="77777777" w:rsidR="006E7C35" w:rsidRPr="00626115" w:rsidRDefault="006E7C35" w:rsidP="006E7C35">
      <w:pPr>
        <w:spacing w:after="0" w:line="240" w:lineRule="auto"/>
        <w:rPr>
          <w:rFonts w:asciiTheme="minorHAnsi" w:hAnsiTheme="minorHAnsi" w:cstheme="minorHAnsi"/>
        </w:rPr>
      </w:pPr>
    </w:p>
    <w:p w14:paraId="1C12798A" w14:textId="77777777" w:rsidR="006E7C35" w:rsidRPr="00626115" w:rsidRDefault="006E7C35" w:rsidP="006E7C35">
      <w:pPr>
        <w:spacing w:after="0" w:line="240" w:lineRule="auto"/>
        <w:rPr>
          <w:rFonts w:asciiTheme="minorHAnsi" w:hAnsiTheme="minorHAnsi" w:cstheme="minorHAnsi"/>
          <w:b/>
          <w:highlight w:val="yellow"/>
        </w:rPr>
      </w:pPr>
      <w:r w:rsidRPr="00626115">
        <w:rPr>
          <w:rFonts w:asciiTheme="minorHAnsi" w:hAnsiTheme="minorHAnsi" w:cstheme="minorHAnsi"/>
          <w:b/>
          <w:highlight w:val="yellow"/>
        </w:rPr>
        <w:t>About (FACILITY)</w:t>
      </w:r>
    </w:p>
    <w:p w14:paraId="0BCD51F7" w14:textId="7D403E96" w:rsidR="006E7C35" w:rsidRDefault="006E7C35" w:rsidP="006E7C35">
      <w:pPr>
        <w:spacing w:after="0" w:line="240" w:lineRule="auto"/>
        <w:rPr>
          <w:rFonts w:asciiTheme="minorHAnsi" w:hAnsiTheme="minorHAnsi" w:cstheme="minorHAnsi"/>
        </w:rPr>
      </w:pPr>
      <w:r w:rsidRPr="00626115">
        <w:rPr>
          <w:rFonts w:asciiTheme="minorHAnsi" w:hAnsiTheme="minorHAnsi" w:cstheme="minorHAnsi"/>
          <w:highlight w:val="yellow"/>
        </w:rPr>
        <w:t>Insert Facility Boilerplate</w:t>
      </w:r>
    </w:p>
    <w:p w14:paraId="24AE0ABD" w14:textId="77777777" w:rsidR="006E7C35" w:rsidRPr="00626115" w:rsidRDefault="006E7C35" w:rsidP="006E7C35">
      <w:pPr>
        <w:spacing w:after="0" w:line="240" w:lineRule="auto"/>
        <w:rPr>
          <w:rFonts w:asciiTheme="minorHAnsi" w:hAnsiTheme="minorHAnsi" w:cstheme="minorHAnsi"/>
        </w:rPr>
      </w:pPr>
    </w:p>
    <w:p w14:paraId="36C44BD7" w14:textId="77777777" w:rsidR="006E7C35" w:rsidRPr="00626115" w:rsidRDefault="006E7C35" w:rsidP="006E7C35">
      <w:pPr>
        <w:spacing w:after="0" w:line="240" w:lineRule="auto"/>
        <w:rPr>
          <w:rFonts w:asciiTheme="minorHAnsi" w:hAnsiTheme="minorHAnsi" w:cstheme="minorHAnsi"/>
          <w:b/>
        </w:rPr>
      </w:pPr>
      <w:r w:rsidRPr="00626115">
        <w:rPr>
          <w:rFonts w:asciiTheme="minorHAnsi" w:hAnsiTheme="minorHAnsi" w:cstheme="minorHAnsi"/>
          <w:b/>
        </w:rPr>
        <w:lastRenderedPageBreak/>
        <w:t>About the American College of Cardiology</w:t>
      </w:r>
    </w:p>
    <w:p w14:paraId="0117F030" w14:textId="77777777" w:rsidR="00FF364E" w:rsidRDefault="00FF364E" w:rsidP="00FF364E">
      <w:pPr>
        <w:spacing w:after="0" w:line="240" w:lineRule="auto"/>
      </w:pPr>
      <w:r w:rsidRPr="00FF364E">
        <w:t>The American College of Cardiology</w:t>
      </w:r>
      <w:r>
        <w:rPr>
          <w:b/>
          <w:bCs/>
        </w:rPr>
        <w:t xml:space="preserve"> </w:t>
      </w:r>
      <w:r>
        <w:t xml:space="preserve">envisions a world where innovation and knowledge optimize cardiovascular care and outcomes. As the professional home for the entire cardiovascular care team, the mission of the College and its 54,000 members is to transform cardiovascular care and to improve heart health. </w:t>
      </w:r>
      <w:r w:rsidRPr="00871882">
        <w:t xml:space="preserve">The ACC bestows credentials upon cardiovascular professionals who meet stringent qualifications and leads in the formation of health policy, </w:t>
      </w:r>
      <w:proofErr w:type="gramStart"/>
      <w:r w:rsidRPr="00871882">
        <w:t>standards</w:t>
      </w:r>
      <w:proofErr w:type="gramEnd"/>
      <w:r w:rsidRPr="00871882">
        <w:t xml:space="preserve"> and guidelines. The College also provides professional medical education, disseminates cardiovascular research through its world-renowned </w:t>
      </w:r>
      <w:r w:rsidRPr="00871882">
        <w:rPr>
          <w:i/>
          <w:iCs/>
        </w:rPr>
        <w:t>JACC Journals,</w:t>
      </w:r>
      <w:r>
        <w:t xml:space="preserve"> operates national registries to measure and improve care, and offers cardiovascular accreditation to hospitals and institutions. For more, visit </w:t>
      </w:r>
      <w:hyperlink r:id="rId8" w:history="1">
        <w:r w:rsidRPr="00A14504">
          <w:rPr>
            <w:rStyle w:val="Hyperlink"/>
          </w:rPr>
          <w:t>acc.org</w:t>
        </w:r>
      </w:hyperlink>
      <w:r>
        <w:t>.</w:t>
      </w:r>
    </w:p>
    <w:p w14:paraId="61FA99DB" w14:textId="77777777" w:rsidR="006E7C35" w:rsidRPr="00626115" w:rsidRDefault="006E7C35" w:rsidP="006E7C35">
      <w:pPr>
        <w:spacing w:after="0" w:line="240" w:lineRule="auto"/>
        <w:jc w:val="center"/>
        <w:rPr>
          <w:rFonts w:asciiTheme="minorHAnsi" w:hAnsiTheme="minorHAnsi" w:cstheme="minorHAnsi"/>
        </w:rPr>
      </w:pPr>
      <w:r w:rsidRPr="00626115">
        <w:rPr>
          <w:rFonts w:asciiTheme="minorHAnsi" w:hAnsiTheme="minorHAnsi" w:cstheme="minorHAnsi"/>
        </w:rPr>
        <w:t>###</w:t>
      </w:r>
    </w:p>
    <w:p w14:paraId="193268C8" w14:textId="0388EBA2" w:rsidR="00247808" w:rsidRPr="00BC744A" w:rsidRDefault="00247808" w:rsidP="006E7C35">
      <w:pPr>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0AA10" w14:textId="77777777" w:rsidR="0036261A" w:rsidRDefault="0036261A" w:rsidP="000921D2">
      <w:pPr>
        <w:spacing w:after="0" w:line="240" w:lineRule="auto"/>
      </w:pPr>
      <w:r>
        <w:separator/>
      </w:r>
    </w:p>
  </w:endnote>
  <w:endnote w:type="continuationSeparator" w:id="0">
    <w:p w14:paraId="5B28AAAE" w14:textId="77777777" w:rsidR="0036261A" w:rsidRDefault="0036261A"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241A0" w14:textId="77777777" w:rsidR="0036261A" w:rsidRDefault="0036261A" w:rsidP="000921D2">
      <w:pPr>
        <w:spacing w:after="0" w:line="240" w:lineRule="auto"/>
      </w:pPr>
      <w:r>
        <w:separator/>
      </w:r>
    </w:p>
  </w:footnote>
  <w:footnote w:type="continuationSeparator" w:id="0">
    <w:p w14:paraId="70009A26" w14:textId="77777777" w:rsidR="0036261A" w:rsidRDefault="0036261A"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79283"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1A954" w14:textId="648BE1B0" w:rsidR="0068188E" w:rsidRDefault="00CB6552" w:rsidP="0068188E">
    <w:pPr>
      <w:pStyle w:val="Header"/>
    </w:pPr>
    <w:r>
      <w:rPr>
        <w:noProof/>
      </w:rPr>
      <w:drawing>
        <wp:inline distT="0" distB="0" distL="0" distR="0" wp14:anchorId="655E0B01" wp14:editId="459B94A2">
          <wp:extent cx="2553573"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64392" cy="809867"/>
                  </a:xfrm>
                  <a:prstGeom prst="rect">
                    <a:avLst/>
                  </a:prstGeom>
                </pic:spPr>
              </pic:pic>
            </a:graphicData>
          </a:graphic>
        </wp:inline>
      </w:drawing>
    </w:r>
    <w:r w:rsidR="0068188E">
      <w:tab/>
    </w:r>
    <w:r w:rsidR="0068188E">
      <w:tab/>
    </w:r>
    <w:r w:rsidR="0068188E" w:rsidRPr="002E361D">
      <w:rPr>
        <w:b/>
        <w:highlight w:val="yellow"/>
      </w:rPr>
      <w:t>FACILITY LOGO</w:t>
    </w:r>
  </w:p>
  <w:p w14:paraId="03A23A2B" w14:textId="77777777" w:rsidR="00BB7DE4" w:rsidRDefault="00BB7DE4" w:rsidP="00BB7D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EE578AB"/>
    <w:multiLevelType w:val="hybridMultilevel"/>
    <w:tmpl w:val="399C9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FB"/>
    <w:rsid w:val="00005160"/>
    <w:rsid w:val="00010166"/>
    <w:rsid w:val="00013C73"/>
    <w:rsid w:val="00026DF6"/>
    <w:rsid w:val="00056293"/>
    <w:rsid w:val="00081542"/>
    <w:rsid w:val="000921D2"/>
    <w:rsid w:val="000F04A6"/>
    <w:rsid w:val="001270A4"/>
    <w:rsid w:val="00144570"/>
    <w:rsid w:val="001A634F"/>
    <w:rsid w:val="001B4C78"/>
    <w:rsid w:val="001C4865"/>
    <w:rsid w:val="001C776C"/>
    <w:rsid w:val="001F5D47"/>
    <w:rsid w:val="00215EBA"/>
    <w:rsid w:val="00220613"/>
    <w:rsid w:val="00247808"/>
    <w:rsid w:val="0028316C"/>
    <w:rsid w:val="002B06A8"/>
    <w:rsid w:val="002D5044"/>
    <w:rsid w:val="0033537B"/>
    <w:rsid w:val="0034208F"/>
    <w:rsid w:val="0036261A"/>
    <w:rsid w:val="003914CE"/>
    <w:rsid w:val="003A2B3F"/>
    <w:rsid w:val="003C003F"/>
    <w:rsid w:val="003C2FF4"/>
    <w:rsid w:val="003C6007"/>
    <w:rsid w:val="003C64A4"/>
    <w:rsid w:val="003F6C4B"/>
    <w:rsid w:val="004159E5"/>
    <w:rsid w:val="00454FA8"/>
    <w:rsid w:val="0047200D"/>
    <w:rsid w:val="00490925"/>
    <w:rsid w:val="004B49FC"/>
    <w:rsid w:val="004C1536"/>
    <w:rsid w:val="004C3CF1"/>
    <w:rsid w:val="004E75C6"/>
    <w:rsid w:val="005014C2"/>
    <w:rsid w:val="00513937"/>
    <w:rsid w:val="00540EAA"/>
    <w:rsid w:val="00571D3A"/>
    <w:rsid w:val="00571EC7"/>
    <w:rsid w:val="0058077A"/>
    <w:rsid w:val="005979B8"/>
    <w:rsid w:val="005A3DB2"/>
    <w:rsid w:val="005A5BFC"/>
    <w:rsid w:val="005C3565"/>
    <w:rsid w:val="005D244F"/>
    <w:rsid w:val="00617AEB"/>
    <w:rsid w:val="00634FFB"/>
    <w:rsid w:val="00641471"/>
    <w:rsid w:val="00655C3E"/>
    <w:rsid w:val="00661801"/>
    <w:rsid w:val="0068188E"/>
    <w:rsid w:val="00684BC9"/>
    <w:rsid w:val="00690568"/>
    <w:rsid w:val="006931C4"/>
    <w:rsid w:val="006A2CC1"/>
    <w:rsid w:val="006E7C35"/>
    <w:rsid w:val="00732DB2"/>
    <w:rsid w:val="0074553C"/>
    <w:rsid w:val="007A29B3"/>
    <w:rsid w:val="00805F52"/>
    <w:rsid w:val="00817EAF"/>
    <w:rsid w:val="00826289"/>
    <w:rsid w:val="008306CD"/>
    <w:rsid w:val="00845B4A"/>
    <w:rsid w:val="00865D69"/>
    <w:rsid w:val="00871882"/>
    <w:rsid w:val="00883B1B"/>
    <w:rsid w:val="008B3F5B"/>
    <w:rsid w:val="008E4FBE"/>
    <w:rsid w:val="008F3979"/>
    <w:rsid w:val="00905D5F"/>
    <w:rsid w:val="00950370"/>
    <w:rsid w:val="00951ECD"/>
    <w:rsid w:val="009A7820"/>
    <w:rsid w:val="009B4E80"/>
    <w:rsid w:val="009C37DD"/>
    <w:rsid w:val="00A0674F"/>
    <w:rsid w:val="00A14504"/>
    <w:rsid w:val="00A50501"/>
    <w:rsid w:val="00A53480"/>
    <w:rsid w:val="00AB3FE4"/>
    <w:rsid w:val="00AB51FD"/>
    <w:rsid w:val="00AF5113"/>
    <w:rsid w:val="00B13434"/>
    <w:rsid w:val="00B25EC7"/>
    <w:rsid w:val="00B469D6"/>
    <w:rsid w:val="00B72525"/>
    <w:rsid w:val="00B76D9E"/>
    <w:rsid w:val="00B86ECF"/>
    <w:rsid w:val="00BB7DE4"/>
    <w:rsid w:val="00BD2034"/>
    <w:rsid w:val="00BD35FB"/>
    <w:rsid w:val="00BD4996"/>
    <w:rsid w:val="00C11FE8"/>
    <w:rsid w:val="00C138E5"/>
    <w:rsid w:val="00C2448C"/>
    <w:rsid w:val="00C607AE"/>
    <w:rsid w:val="00C82112"/>
    <w:rsid w:val="00C97B11"/>
    <w:rsid w:val="00CB6552"/>
    <w:rsid w:val="00CD44AA"/>
    <w:rsid w:val="00D211C9"/>
    <w:rsid w:val="00D34C89"/>
    <w:rsid w:val="00D4245A"/>
    <w:rsid w:val="00D62AB7"/>
    <w:rsid w:val="00D672F0"/>
    <w:rsid w:val="00D75747"/>
    <w:rsid w:val="00D8215C"/>
    <w:rsid w:val="00DA1995"/>
    <w:rsid w:val="00DC42DA"/>
    <w:rsid w:val="00DE0271"/>
    <w:rsid w:val="00DE5043"/>
    <w:rsid w:val="00E02EA6"/>
    <w:rsid w:val="00E41DEC"/>
    <w:rsid w:val="00E44244"/>
    <w:rsid w:val="00E4603F"/>
    <w:rsid w:val="00ED2F7A"/>
    <w:rsid w:val="00F235A3"/>
    <w:rsid w:val="00F3720C"/>
    <w:rsid w:val="00F56B5D"/>
    <w:rsid w:val="00F66EC9"/>
    <w:rsid w:val="00F73CE9"/>
    <w:rsid w:val="00F86581"/>
    <w:rsid w:val="00FC71F7"/>
    <w:rsid w:val="00FD0506"/>
    <w:rsid w:val="00FF09B7"/>
    <w:rsid w:val="00FF364E"/>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C6A02F6"/>
  <w15:docId w15:val="{4A42DAFD-98C5-4FDA-8913-896A004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 w:type="character" w:styleId="UnresolvedMention">
    <w:name w:val="Unresolved Mention"/>
    <w:basedOn w:val="DefaultParagraphFont"/>
    <w:uiPriority w:val="99"/>
    <w:semiHidden/>
    <w:unhideWhenUsed/>
    <w:rsid w:val="00A14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81718884">
      <w:bodyDiv w:val="1"/>
      <w:marLeft w:val="0"/>
      <w:marRight w:val="0"/>
      <w:marTop w:val="0"/>
      <w:marBottom w:val="0"/>
      <w:divBdr>
        <w:top w:val="none" w:sz="0" w:space="0" w:color="auto"/>
        <w:left w:val="none" w:sz="0" w:space="0" w:color="auto"/>
        <w:bottom w:val="none" w:sz="0" w:space="0" w:color="auto"/>
        <w:right w:val="none" w:sz="0" w:space="0" w:color="auto"/>
      </w:divBdr>
    </w:div>
    <w:div w:id="110541686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396775893">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37961828">
      <w:bodyDiv w:val="1"/>
      <w:marLeft w:val="0"/>
      <w:marRight w:val="0"/>
      <w:marTop w:val="0"/>
      <w:marBottom w:val="0"/>
      <w:divBdr>
        <w:top w:val="none" w:sz="0" w:space="0" w:color="auto"/>
        <w:left w:val="none" w:sz="0" w:space="0" w:color="auto"/>
        <w:bottom w:val="none" w:sz="0" w:space="0" w:color="auto"/>
        <w:right w:val="none" w:sz="0" w:space="0" w:color="auto"/>
      </w:divBdr>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636444583">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American College of Cardiology</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2</cp:revision>
  <cp:lastPrinted>2012-09-10T11:19:00Z</cp:lastPrinted>
  <dcterms:created xsi:type="dcterms:W3CDTF">2021-03-23T21:25:00Z</dcterms:created>
  <dcterms:modified xsi:type="dcterms:W3CDTF">2021-03-23T21:25:00Z</dcterms:modified>
</cp:coreProperties>
</file>